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tblInd w:w="0" w:type="dxa"/>
        <w:tblLayout w:type="autofit"/>
        <w:tblCellMar>
          <w:top w:w="0" w:type="dxa"/>
          <w:left w:w="108" w:type="dxa"/>
          <w:bottom w:w="0" w:type="dxa"/>
          <w:right w:w="108" w:type="dxa"/>
        </w:tblCellMar>
      </w:tblPr>
      <w:tblGrid>
        <w:gridCol w:w="2840"/>
        <w:gridCol w:w="2841"/>
        <w:gridCol w:w="2841"/>
      </w:tblGrid>
      <w:tr>
        <w:trPr>
          <w:wBefore w:w="0" w:type="dxa"/>
          <w:wAfter w:w="0" w:type="dxa"/>
        </w:trPr>
        <w:tc>
          <w:tcPr>
            <w:tcW w:w="1666" w:type="pct"/>
            <w:noWrap w:val="0"/>
            <w:vAlign w:val="top"/>
          </w:tcPr>
          <w:p>
            <w:pPr>
              <w:adjustRightInd w:val="0"/>
              <w:snapToGrid w:val="0"/>
              <w:spacing w:line="440" w:lineRule="exact"/>
              <w:rPr>
                <w:rFonts w:hint="default" w:ascii="Times New Roman" w:hAnsi="Times New Roman" w:cs="Times New Roman"/>
                <w:sz w:val="24"/>
              </w:rPr>
            </w:pPr>
            <w:bookmarkStart w:id="0" w:name="_GoBack"/>
            <w:bookmarkEnd w:id="0"/>
            <w:r>
              <w:rPr>
                <w:rFonts w:hint="default" w:ascii="Times New Roman" w:hAnsi="Times New Roman" w:cs="Times New Roman"/>
                <w:sz w:val="24"/>
              </w:rPr>
              <w:t>证券代码：000881</w:t>
            </w:r>
          </w:p>
        </w:tc>
        <w:tc>
          <w:tcPr>
            <w:tcW w:w="1667" w:type="pct"/>
            <w:noWrap w:val="0"/>
            <w:vAlign w:val="top"/>
          </w:tcPr>
          <w:p>
            <w:pPr>
              <w:adjustRightInd w:val="0"/>
              <w:snapToGrid w:val="0"/>
              <w:spacing w:line="440" w:lineRule="exact"/>
              <w:jc w:val="center"/>
              <w:rPr>
                <w:rFonts w:hint="default" w:ascii="Times New Roman" w:hAnsi="Times New Roman" w:cs="Times New Roman"/>
                <w:sz w:val="24"/>
              </w:rPr>
            </w:pPr>
            <w:r>
              <w:rPr>
                <w:rFonts w:hint="default" w:ascii="Times New Roman" w:hAnsi="Times New Roman" w:cs="Times New Roman"/>
                <w:sz w:val="24"/>
              </w:rPr>
              <w:t>证券简称：中广核技</w:t>
            </w:r>
          </w:p>
        </w:tc>
        <w:tc>
          <w:tcPr>
            <w:tcW w:w="1667" w:type="pct"/>
            <w:noWrap w:val="0"/>
            <w:vAlign w:val="top"/>
          </w:tcPr>
          <w:p>
            <w:pPr>
              <w:adjustRightInd w:val="0"/>
              <w:snapToGrid w:val="0"/>
              <w:spacing w:line="440" w:lineRule="exact"/>
              <w:jc w:val="righ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公告编号：202</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-0</w:t>
            </w:r>
            <w:r>
              <w:rPr>
                <w:rFonts w:hint="eastAsia" w:ascii="Times New Roman" w:hAnsi="Times New Roman" w:cs="Times New Roman"/>
                <w:color w:val="auto"/>
                <w:sz w:val="24"/>
                <w:lang w:val="en-US" w:eastAsia="zh-CN"/>
              </w:rPr>
              <w:t>26</w:t>
            </w:r>
          </w:p>
        </w:tc>
      </w:tr>
    </w:tbl>
    <w:p>
      <w:pPr>
        <w:snapToGrid w:val="0"/>
        <w:spacing w:before="156" w:beforeLines="50"/>
        <w:jc w:val="center"/>
        <w:rPr>
          <w:rFonts w:hint="default" w:ascii="Times New Roman" w:hAnsi="Times New Roman" w:cs="Times New Roman"/>
          <w:b/>
          <w:sz w:val="36"/>
          <w:szCs w:val="36"/>
        </w:rPr>
      </w:pPr>
      <w:r>
        <w:rPr>
          <w:rFonts w:hint="default" w:ascii="Times New Roman" w:hAnsi="Times New Roman" w:cs="Times New Roman"/>
          <w:b/>
          <w:sz w:val="36"/>
          <w:szCs w:val="36"/>
        </w:rPr>
        <w:t>中广核核技术发展股份有限公司</w:t>
      </w:r>
    </w:p>
    <w:p>
      <w:pPr>
        <w:snapToGrid w:val="0"/>
        <w:jc w:val="center"/>
        <w:rPr>
          <w:rFonts w:hint="default" w:ascii="Times New Roman" w:hAnsi="Times New Roman" w:cs="Times New Roman"/>
          <w:b/>
          <w:sz w:val="36"/>
          <w:szCs w:val="36"/>
        </w:rPr>
      </w:pPr>
      <w:r>
        <w:rPr>
          <w:rFonts w:hint="default" w:ascii="Times New Roman" w:hAnsi="Times New Roman" w:cs="Times New Roman"/>
          <w:b/>
          <w:sz w:val="36"/>
          <w:szCs w:val="36"/>
        </w:rPr>
        <w:t>关于注销部分股票期权的公告</w:t>
      </w:r>
    </w:p>
    <w:p>
      <w:pPr>
        <w:snapToGrid w:val="0"/>
        <w:spacing w:before="156" w:beforeLines="50"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本公司及董事会全体成员保证信息披露的内容真实、准确、完整，没有虚假记载、误导性陈述或者重大遗漏。</w:t>
      </w:r>
    </w:p>
    <w:p>
      <w:pPr>
        <w:adjustRightInd w:val="0"/>
        <w:snapToGrid w:val="0"/>
        <w:spacing w:line="360" w:lineRule="auto"/>
        <w:ind w:firstLine="480" w:firstLineChars="200"/>
        <w:outlineLvl w:val="0"/>
        <w:rPr>
          <w:rFonts w:hint="default" w:ascii="Times New Roman" w:hAnsi="Times New Roman" w:cs="Times New Roman"/>
          <w:b w:val="0"/>
          <w:bCs/>
          <w:sz w:val="24"/>
          <w:szCs w:val="24"/>
        </w:rPr>
      </w:pPr>
      <w:r>
        <w:rPr>
          <w:rFonts w:hint="default" w:ascii="Times New Roman" w:hAnsi="Times New Roman" w:cs="Times New Roman"/>
          <w:b w:val="0"/>
          <w:bCs/>
          <w:sz w:val="24"/>
          <w:szCs w:val="24"/>
        </w:rPr>
        <w:t>中广核核技术发展股份有限公司（以下简称“公司”或“中广核技”）</w:t>
      </w:r>
      <w:r>
        <w:rPr>
          <w:rFonts w:hint="eastAsia" w:ascii="Times New Roman" w:hAnsi="Times New Roman" w:cs="Times New Roman"/>
          <w:b w:val="0"/>
          <w:bCs/>
          <w:sz w:val="24"/>
          <w:szCs w:val="24"/>
          <w:lang w:val="en-US" w:eastAsia="zh-CN"/>
        </w:rPr>
        <w:t>于2024年4月25日召开的第十届董事会第十五次会议及第十届监事会第九次会议审议通过了《关于注销离职人员股票期权的议案》，根据股东大会授权，董事会同意注销胡冬明等25名离职人员已获授但尚未行权的股票期权共计291万份。本次注销股票期权符合法律、行政法规、部门规章、规范性文件、公司章程、本次股权激励计划等的相关规定。具体情况如下：</w:t>
      </w:r>
    </w:p>
    <w:p>
      <w:pPr>
        <w:adjustRightInd w:val="0"/>
        <w:snapToGrid w:val="0"/>
        <w:spacing w:line="360" w:lineRule="auto"/>
        <w:ind w:firstLine="482" w:firstLineChars="200"/>
        <w:outlineLvl w:val="0"/>
        <w:rPr>
          <w:rFonts w:hint="default" w:ascii="Times New Roman" w:hAnsi="Times New Roman" w:eastAsia="宋体" w:cs="Times New Roman"/>
          <w:b/>
          <w:sz w:val="24"/>
          <w:szCs w:val="24"/>
          <w:lang w:val="en-US" w:eastAsia="zh-CN"/>
        </w:rPr>
      </w:pPr>
      <w:r>
        <w:rPr>
          <w:rFonts w:hint="default" w:ascii="Times New Roman" w:hAnsi="Times New Roman" w:cs="Times New Roman"/>
          <w:b/>
          <w:sz w:val="24"/>
          <w:szCs w:val="24"/>
        </w:rPr>
        <w:t>一、股票期权</w:t>
      </w:r>
      <w:r>
        <w:rPr>
          <w:rFonts w:hint="eastAsia" w:ascii="Times New Roman" w:hAnsi="Times New Roman" w:cs="Times New Roman"/>
          <w:b/>
          <w:sz w:val="24"/>
          <w:szCs w:val="24"/>
          <w:lang w:val="en-US" w:eastAsia="zh-CN"/>
        </w:rPr>
        <w:t>激励计划已履行的审批程序</w:t>
      </w:r>
    </w:p>
    <w:p>
      <w:pPr>
        <w:adjustRightInd w:val="0"/>
        <w:snapToGrid w:val="0"/>
        <w:spacing w:before="50" w:after="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1、2022年10月24日，公司董事会薪酬委员会拟订了《中广核核技术发展股份有限公司股票期权激励计划（草案）》</w:t>
      </w:r>
      <w:r>
        <w:rPr>
          <w:rFonts w:hint="eastAsia" w:ascii="宋体" w:hAnsi="宋体" w:eastAsia="宋体" w:cs="宋体"/>
          <w:sz w:val="24"/>
          <w:szCs w:val="24"/>
        </w:rPr>
        <w:t>（“《激励计划（草案）》”）</w:t>
      </w:r>
      <w:r>
        <w:rPr>
          <w:rFonts w:hint="default" w:ascii="Times New Roman" w:hAnsi="Times New Roman" w:cs="Times New Roman"/>
          <w:sz w:val="24"/>
          <w:szCs w:val="24"/>
        </w:rPr>
        <w:t>《公司股票期权激励计划首期实施方案（草案）》等相关议案，并提交公司董事会审议。</w:t>
      </w:r>
    </w:p>
    <w:p>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2022年10月27日，公司召开第九届董事会第三十一次会议和第九届监事会第二十三次会议，审议通过了《关于公司〈股票期权激励计划（草案）〉及其摘要的议案》等与公司股票期权激励计划相关的议案。2022年11月2日，公司通过公司网站对激励对象名单进行了内部公示，公示时间为2022年11月3日至2022年11月14日。公示期间，公司员工可通过电子邮件、信函和来访等方式向公司监事会实名反映对激励对象的不同意见。截至公示期届满，公司监事会未收到对公示的激励对象名单提出的任何异议。2022年12月8日，公司收到公司实际控制人中国广核集团有限公司通知，国务院国有资产监督管理委员会（以下简称“国务院国资委”）已原则同意公司实施股票期权激励计划。 </w:t>
      </w:r>
    </w:p>
    <w:p>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2022年12月26日，公司召开2022年第七次临时股东大会，审议通过《关于公司〈股票期权激励计划（草案）〉及其摘要的议案》等与公司股票期权激励计划相关的议案，独立董事刘澄清向全体股东公开征集了委托投票权。公司在同日披露了《关于2022年股票期权激励计划内幕信息知情人及激励对象买卖公司股票情况的自查报告》。</w:t>
      </w:r>
    </w:p>
    <w:p>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2022年12月30日，公司召开第九届董事会第三十三次会议和第九届监事会第二十四次会议，分别审议通过了《关于调整股票期权激励计划首次授予激励对象名单和授予数量的议案》《关于向公司股票期权激励计划激励对象首次授予股票期权的议案》，同意确定2022年12月30日为授予日，向符合条件的261名激励对象授予2,648万份股票期权，行权价格为7.33元/股。监事会对授予激励对象名单进行核实并发表了核查意见。</w:t>
      </w:r>
    </w:p>
    <w:p>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2023年2月22日，公司完成本次授予登记，本次股票期权的授予日为2022年12月30日；本次股票期权的授予数量：2,596万份；授予的激励对象：公司董事、高级管理人员、公司（含子公司）中层管理人员及核心技术（业务）骨干，共计257人；本次授予的股票期权的行权价格：7.33元/份。</w:t>
      </w:r>
    </w:p>
    <w:p>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2023年4月25日，公司召开第十届董事会第四次会议和第十届监事会第二次会议，分别审议通过了《关于公司股票期权激励计划预留股票期权授予的议案》，同意确定2023年4月25日为授予日，向符合条件的4名激励对象授予91万份股票期权，行权价格为8.11元/股。本次股票期权激励计划首期实施方案预留股票期权合计为95万份，本次授予预留股票期权91万份，剩余4万份预留股票期权未来将不再授予，尚未授予的所有权益失效。监事会对授予激励对象名单进行核实并发表了核查意见。</w:t>
      </w:r>
    </w:p>
    <w:p>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2023年5月19日，公司完成2022年股票期权激励计划首期实施方案预留股票期权的授予登记工作，股票期权的授予日为2023年4月25日；股票期权的授予数量：91万份；授予的激励对象：公司高级管理人员、子公司管理人员，共计4人；授予的股票期权的行权价格：8.11元/份。</w:t>
      </w:r>
    </w:p>
    <w:p>
      <w:pPr>
        <w:adjustRightInd w:val="0"/>
        <w:snapToGrid w:val="0"/>
        <w:spacing w:before="50" w:after="50" w:line="360" w:lineRule="auto"/>
        <w:ind w:firstLine="482" w:firstLineChars="200"/>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二、本次注销股票期权情况</w:t>
      </w:r>
    </w:p>
    <w:p>
      <w:pPr>
        <w:adjustRightInd w:val="0"/>
        <w:snapToGrid w:val="0"/>
        <w:spacing w:before="50" w:after="50"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公司《股票期权激励计划管理办法》第二十九条规定，激励对象因辞职、被解雇或公司裁员而离职，激励对象根据本计划已获授但尚未行权的股票期权由公司注销。</w:t>
      </w:r>
    </w:p>
    <w:p>
      <w:pPr>
        <w:adjustRightInd w:val="0"/>
        <w:snapToGrid w:val="0"/>
        <w:spacing w:before="50" w:after="50"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根据上述规定，目前有25名激励对象离职，已不再符合激励对象资格，其已获授但尚未行权的合计291万份股票期权不得行权，由公司统一注销，离职人员名单及其已获授的股票期权数量如下：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57"/>
        <w:gridCol w:w="4316"/>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shd w:val="clear" w:color="auto" w:fill="D7D7D7"/>
            <w:noWrap/>
            <w:vAlign w:val="top"/>
          </w:tcPr>
          <w:p>
            <w:pPr>
              <w:pStyle w:val="3"/>
              <w:spacing w:before="100" w:beforeAutospacing="1" w:after="100" w:afterAutospacing="1"/>
              <w:rPr>
                <w:rFonts w:hint="default" w:ascii="Times New Roman" w:hAnsi="Times New Roman" w:eastAsia="宋体" w:cs="Times New Roman"/>
                <w:b/>
                <w:bCs/>
                <w:spacing w:val="-4"/>
                <w:sz w:val="21"/>
                <w:szCs w:val="21"/>
              </w:rPr>
            </w:pPr>
            <w:r>
              <w:rPr>
                <w:rFonts w:hint="default" w:ascii="Times New Roman" w:hAnsi="Times New Roman" w:eastAsia="宋体" w:cs="Times New Roman"/>
                <w:b/>
                <w:bCs/>
                <w:spacing w:val="-4"/>
                <w:sz w:val="21"/>
                <w:szCs w:val="21"/>
              </w:rPr>
              <w:t>序号</w:t>
            </w:r>
          </w:p>
        </w:tc>
        <w:tc>
          <w:tcPr>
            <w:tcW w:w="1257" w:type="dxa"/>
            <w:shd w:val="clear" w:color="auto" w:fill="D7D7D7"/>
            <w:noWrap/>
            <w:vAlign w:val="center"/>
          </w:tcPr>
          <w:p>
            <w:pPr>
              <w:pStyle w:val="3"/>
              <w:spacing w:before="100" w:beforeAutospacing="1" w:after="100" w:afterAutospacing="1"/>
              <w:jc w:val="center"/>
              <w:rPr>
                <w:rFonts w:hint="default" w:ascii="Times New Roman" w:hAnsi="Times New Roman" w:eastAsia="宋体" w:cs="Times New Roman"/>
                <w:b/>
                <w:bCs/>
                <w:spacing w:val="-4"/>
                <w:sz w:val="21"/>
                <w:szCs w:val="21"/>
              </w:rPr>
            </w:pPr>
            <w:r>
              <w:rPr>
                <w:rFonts w:hint="default" w:ascii="Times New Roman" w:hAnsi="Times New Roman" w:eastAsia="宋体" w:cs="Times New Roman"/>
                <w:b/>
                <w:bCs/>
                <w:spacing w:val="-4"/>
                <w:sz w:val="21"/>
                <w:szCs w:val="21"/>
              </w:rPr>
              <w:t>姓名</w:t>
            </w:r>
          </w:p>
        </w:tc>
        <w:tc>
          <w:tcPr>
            <w:tcW w:w="4316" w:type="dxa"/>
            <w:shd w:val="clear" w:color="auto" w:fill="D7D7D7"/>
            <w:noWrap/>
            <w:vAlign w:val="center"/>
          </w:tcPr>
          <w:p>
            <w:pPr>
              <w:pStyle w:val="3"/>
              <w:spacing w:before="100" w:beforeAutospacing="1" w:after="100" w:afterAutospacing="1"/>
              <w:jc w:val="center"/>
              <w:rPr>
                <w:rFonts w:hint="default" w:ascii="Times New Roman" w:hAnsi="Times New Roman" w:eastAsia="宋体" w:cs="Times New Roman"/>
                <w:b/>
                <w:bCs/>
                <w:spacing w:val="-4"/>
                <w:sz w:val="21"/>
                <w:szCs w:val="21"/>
              </w:rPr>
            </w:pPr>
            <w:r>
              <w:rPr>
                <w:rFonts w:hint="default" w:ascii="Times New Roman" w:hAnsi="Times New Roman" w:eastAsia="宋体" w:cs="Times New Roman"/>
                <w:b/>
                <w:bCs/>
                <w:spacing w:val="-4"/>
                <w:sz w:val="21"/>
                <w:szCs w:val="21"/>
              </w:rPr>
              <w:t>原职位</w:t>
            </w:r>
          </w:p>
        </w:tc>
        <w:tc>
          <w:tcPr>
            <w:tcW w:w="2157" w:type="dxa"/>
            <w:shd w:val="clear" w:color="auto" w:fill="D7D7D7"/>
            <w:noWrap/>
            <w:vAlign w:val="center"/>
          </w:tcPr>
          <w:p>
            <w:pPr>
              <w:pStyle w:val="3"/>
              <w:spacing w:before="100" w:beforeAutospacing="1" w:after="100" w:afterAutospacing="1" w:line="360" w:lineRule="exact"/>
              <w:jc w:val="center"/>
              <w:rPr>
                <w:rFonts w:hint="default" w:ascii="Times New Roman" w:hAnsi="Times New Roman" w:eastAsia="宋体" w:cs="Times New Roman"/>
                <w:b/>
                <w:bCs/>
                <w:spacing w:val="-4"/>
                <w:sz w:val="21"/>
                <w:szCs w:val="21"/>
                <w:lang w:val="en-US" w:eastAsia="zh-CN"/>
              </w:rPr>
            </w:pPr>
            <w:r>
              <w:rPr>
                <w:rFonts w:hint="default" w:ascii="Times New Roman" w:hAnsi="Times New Roman" w:eastAsia="宋体" w:cs="Times New Roman"/>
                <w:b/>
                <w:bCs/>
                <w:spacing w:val="-4"/>
                <w:sz w:val="21"/>
                <w:szCs w:val="21"/>
                <w:lang w:val="en-US" w:eastAsia="zh-CN"/>
              </w:rPr>
              <w:t>股票期权数量（万份）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1</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胡冬明</w:t>
            </w:r>
          </w:p>
        </w:tc>
        <w:tc>
          <w:tcPr>
            <w:tcW w:w="4316" w:type="dxa"/>
            <w:noWrap/>
            <w:vAlign w:val="center"/>
          </w:tcPr>
          <w:p>
            <w:pPr>
              <w:pStyle w:val="3"/>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lang w:val="en-US" w:eastAsia="zh-CN"/>
              </w:rPr>
              <w:t>原</w:t>
            </w:r>
            <w:r>
              <w:rPr>
                <w:rFonts w:hint="default" w:ascii="Times New Roman" w:hAnsi="Times New Roman" w:eastAsia="宋体" w:cs="Times New Roman"/>
                <w:spacing w:val="-4"/>
                <w:sz w:val="21"/>
                <w:szCs w:val="21"/>
              </w:rPr>
              <w:t>董事长</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2</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谭剑锋</w:t>
            </w:r>
          </w:p>
        </w:tc>
        <w:tc>
          <w:tcPr>
            <w:tcW w:w="4316" w:type="dxa"/>
            <w:noWrap/>
            <w:vAlign w:val="center"/>
          </w:tcPr>
          <w:p>
            <w:pPr>
              <w:pStyle w:val="3"/>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lang w:val="en-US" w:eastAsia="zh-CN"/>
              </w:rPr>
              <w:t>原</w:t>
            </w:r>
            <w:r>
              <w:rPr>
                <w:rFonts w:hint="default" w:ascii="Times New Roman" w:hAnsi="Times New Roman" w:eastAsia="宋体" w:cs="Times New Roman"/>
                <w:spacing w:val="-4"/>
                <w:sz w:val="21"/>
                <w:szCs w:val="21"/>
              </w:rPr>
              <w:t>总会计师</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3</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寇元泽</w:t>
            </w:r>
          </w:p>
        </w:tc>
        <w:tc>
          <w:tcPr>
            <w:tcW w:w="4316" w:type="dxa"/>
            <w:noWrap/>
            <w:vAlign w:val="center"/>
          </w:tcPr>
          <w:p>
            <w:pPr>
              <w:pStyle w:val="3"/>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4</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赵波</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5</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黎天剑</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6</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郑成山</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7</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唐天明</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8</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王海峰</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9</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李金瓯</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10</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丁建宏</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11</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魏巍</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12</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单永东</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13</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汪菲</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14</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吴忠伟</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15</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王俊杰</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16</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谢飞</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17</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朱云超</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18</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陈智文</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19</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叶晓军</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20</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张天刚</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21</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王平</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22</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周建华</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23</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罗为凯</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24</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谢明</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25</w:t>
            </w:r>
          </w:p>
        </w:tc>
        <w:tc>
          <w:tcPr>
            <w:tcW w:w="1257" w:type="dxa"/>
            <w:noWrap/>
            <w:vAlign w:val="center"/>
          </w:tcPr>
          <w:p>
            <w:pPr>
              <w:pStyle w:val="3"/>
              <w:spacing w:before="100" w:beforeAutospacing="1" w:after="100" w:afterAutospacing="1"/>
              <w:jc w:val="center"/>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母新华</w:t>
            </w:r>
          </w:p>
        </w:tc>
        <w:tc>
          <w:tcPr>
            <w:tcW w:w="4316" w:type="dxa"/>
            <w:noWrap/>
            <w:vAlign w:val="center"/>
          </w:tcPr>
          <w:p>
            <w:pPr>
              <w:spacing w:before="100" w:beforeAutospacing="1" w:after="100" w:afterAutospacing="1" w:line="360" w:lineRule="exac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核心管理人员、核心技术／销售／研发人员</w:t>
            </w:r>
          </w:p>
        </w:tc>
        <w:tc>
          <w:tcPr>
            <w:tcW w:w="2157" w:type="dxa"/>
            <w:noWrap/>
            <w:vAlign w:val="center"/>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rPr>
            </w:pPr>
            <w:r>
              <w:rPr>
                <w:rFonts w:hint="default" w:ascii="Times New Roman" w:hAnsi="Times New Roman" w:eastAsia="宋体" w:cs="Times New Roman"/>
                <w:spacing w:val="-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shd w:val="clear" w:color="auto" w:fill="D7D7D7"/>
            <w:noWrap/>
            <w:vAlign w:val="top"/>
          </w:tcPr>
          <w:p>
            <w:pPr>
              <w:pStyle w:val="3"/>
              <w:spacing w:before="100" w:beforeAutospacing="1" w:after="100" w:afterAutospacing="1"/>
              <w:rPr>
                <w:rFonts w:hint="default" w:ascii="Times New Roman" w:hAnsi="Times New Roman" w:eastAsia="宋体" w:cs="Times New Roman"/>
                <w:spacing w:val="-4"/>
                <w:sz w:val="21"/>
                <w:szCs w:val="21"/>
                <w:lang w:val="en-US" w:eastAsia="zh-CN"/>
              </w:rPr>
            </w:pPr>
            <w:r>
              <w:rPr>
                <w:rFonts w:hint="default" w:ascii="Times New Roman" w:hAnsi="Times New Roman" w:eastAsia="宋体" w:cs="Times New Roman"/>
                <w:spacing w:val="-4"/>
                <w:sz w:val="21"/>
                <w:szCs w:val="21"/>
                <w:lang w:val="en-US" w:eastAsia="zh-CN"/>
              </w:rPr>
              <w:t>合计</w:t>
            </w:r>
          </w:p>
        </w:tc>
        <w:tc>
          <w:tcPr>
            <w:tcW w:w="7730" w:type="dxa"/>
            <w:gridSpan w:val="3"/>
            <w:noWrap/>
            <w:vAlign w:val="top"/>
          </w:tcPr>
          <w:p>
            <w:pPr>
              <w:pStyle w:val="3"/>
              <w:spacing w:before="100" w:beforeAutospacing="1" w:after="100" w:afterAutospacing="1" w:line="240" w:lineRule="exact"/>
              <w:jc w:val="right"/>
              <w:rPr>
                <w:rFonts w:hint="default" w:ascii="Times New Roman" w:hAnsi="Times New Roman" w:eastAsia="宋体" w:cs="Times New Roman"/>
                <w:spacing w:val="-4"/>
                <w:sz w:val="21"/>
                <w:szCs w:val="21"/>
                <w:lang w:val="en-US" w:eastAsia="zh-CN"/>
              </w:rPr>
            </w:pPr>
            <w:r>
              <w:rPr>
                <w:rFonts w:hint="default" w:ascii="Times New Roman" w:hAnsi="Times New Roman" w:eastAsia="宋体" w:cs="Times New Roman"/>
                <w:spacing w:val="-4"/>
                <w:szCs w:val="21"/>
              </w:rPr>
              <w:t>2</w:t>
            </w:r>
            <w:r>
              <w:rPr>
                <w:rFonts w:hint="default" w:ascii="Times New Roman" w:hAnsi="Times New Roman" w:eastAsia="宋体" w:cs="Times New Roman"/>
                <w:spacing w:val="-4"/>
                <w:szCs w:val="21"/>
                <w:lang w:val="en-US" w:eastAsia="zh-CN"/>
              </w:rPr>
              <w:t>91</w:t>
            </w:r>
          </w:p>
        </w:tc>
      </w:tr>
    </w:tbl>
    <w:p>
      <w:pPr>
        <w:adjustRightInd w:val="0"/>
        <w:snapToGrid w:val="0"/>
        <w:spacing w:before="50" w:after="50" w:line="360" w:lineRule="auto"/>
        <w:ind w:firstLine="482" w:firstLineChars="200"/>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三、本次注销对公司的影响</w:t>
      </w:r>
    </w:p>
    <w:p>
      <w:pPr>
        <w:adjustRightInd w:val="0"/>
        <w:snapToGrid w:val="0"/>
        <w:spacing w:before="50" w:after="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本次注销部分股票期权不会对公司财务状况和经营情况产生实质性影响，不会影响公司</w:t>
      </w:r>
      <w:r>
        <w:rPr>
          <w:rFonts w:hint="eastAsia" w:ascii="Times New Roman" w:hAnsi="Times New Roman" w:cs="Times New Roman"/>
          <w:sz w:val="24"/>
          <w:szCs w:val="24"/>
          <w:lang w:val="en-US" w:eastAsia="zh-CN"/>
        </w:rPr>
        <w:t>股票</w:t>
      </w:r>
      <w:r>
        <w:rPr>
          <w:rFonts w:hint="default" w:ascii="Times New Roman" w:hAnsi="Times New Roman" w:cs="Times New Roman"/>
          <w:sz w:val="24"/>
          <w:szCs w:val="24"/>
        </w:rPr>
        <w:t>期权激励计划的继续实施；同时，本次</w:t>
      </w:r>
      <w:r>
        <w:rPr>
          <w:rFonts w:hint="eastAsia" w:ascii="Times New Roman" w:hAnsi="Times New Roman" w:cs="Times New Roman"/>
          <w:sz w:val="24"/>
          <w:szCs w:val="24"/>
          <w:lang w:val="en-US" w:eastAsia="zh-CN"/>
        </w:rPr>
        <w:t>注销</w:t>
      </w:r>
      <w:r>
        <w:rPr>
          <w:rFonts w:hint="default" w:ascii="Times New Roman" w:hAnsi="Times New Roman" w:cs="Times New Roman"/>
          <w:sz w:val="24"/>
          <w:szCs w:val="24"/>
        </w:rPr>
        <w:t xml:space="preserve">不会影响公司员工及管理团队正常履职。本次注销符合法律、行政法规、部门规章、规范性文件、公司章程、本次股权激励计划等的相关规定。 </w:t>
      </w:r>
    </w:p>
    <w:p>
      <w:pPr>
        <w:adjustRightInd w:val="0"/>
        <w:snapToGrid w:val="0"/>
        <w:spacing w:before="50" w:after="50" w:line="360" w:lineRule="auto"/>
        <w:ind w:firstLine="482" w:firstLineChars="200"/>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四、监事会意见</w:t>
      </w:r>
    </w:p>
    <w:p>
      <w:pPr>
        <w:adjustRightInd w:val="0"/>
        <w:snapToGrid w:val="0"/>
        <w:spacing w:before="50" w:after="5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监事会对拟注销期权的数量及激励对象名单进行了核实，因25名激励对象离职，公司拟注销其已获授但尚未行权的</w:t>
      </w:r>
      <w:r>
        <w:rPr>
          <w:rFonts w:hint="eastAsia" w:ascii="Times New Roman" w:hAnsi="Times New Roman" w:cs="Times New Roman"/>
          <w:sz w:val="24"/>
          <w:szCs w:val="24"/>
          <w:lang w:val="en-US" w:eastAsia="zh-CN"/>
        </w:rPr>
        <w:t>股票期权</w:t>
      </w:r>
      <w:r>
        <w:rPr>
          <w:rFonts w:hint="default" w:ascii="Times New Roman" w:hAnsi="Times New Roman" w:cs="Times New Roman"/>
          <w:sz w:val="24"/>
          <w:szCs w:val="24"/>
        </w:rPr>
        <w:t>符合《上市公司股权激励管理办法》及公司股票期权激励计划的相关规定，符合股东大会对董事会的授权，不存在损害公司及全体股东利益的情况，监事会一致同意上述注销。</w:t>
      </w:r>
    </w:p>
    <w:p>
      <w:pPr>
        <w:adjustRightInd w:val="0"/>
        <w:snapToGrid w:val="0"/>
        <w:spacing w:before="50" w:after="50" w:line="360" w:lineRule="auto"/>
        <w:ind w:firstLine="482" w:firstLineChars="200"/>
        <w:rPr>
          <w:rFonts w:hint="default"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五、法律意见书</w:t>
      </w:r>
    </w:p>
    <w:p>
      <w:pPr>
        <w:adjustRightInd w:val="0"/>
        <w:snapToGrid w:val="0"/>
        <w:spacing w:before="50" w:after="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北京市金杜（深圳）律师事务所认为，本次注销已取得现阶段必要的批准和授权；本次注销符合《上市公司股权激励管理办法》等相关法律规定以及《激励计划（草案）》的安排；公司尚需就本次注销依法履行信息披露义务并办理相关股票期权注销手续。</w:t>
      </w:r>
    </w:p>
    <w:p>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特此公告。</w:t>
      </w:r>
    </w:p>
    <w:p>
      <w:pPr>
        <w:snapToGrid w:val="0"/>
        <w:spacing w:line="360" w:lineRule="auto"/>
        <w:ind w:firstLine="480" w:firstLineChars="200"/>
        <w:rPr>
          <w:rFonts w:hint="default" w:ascii="Times New Roman" w:hAnsi="Times New Roman" w:cs="Times New Roman"/>
          <w:sz w:val="24"/>
          <w:szCs w:val="24"/>
        </w:rPr>
      </w:pPr>
    </w:p>
    <w:p>
      <w:pPr>
        <w:snapToGrid w:val="0"/>
        <w:spacing w:line="360" w:lineRule="auto"/>
        <w:ind w:firstLine="480" w:firstLineChars="200"/>
        <w:rPr>
          <w:rFonts w:hint="default" w:ascii="Times New Roman" w:hAnsi="Times New Roman" w:cs="Times New Roman"/>
          <w:sz w:val="24"/>
          <w:szCs w:val="24"/>
        </w:rPr>
      </w:pPr>
    </w:p>
    <w:p>
      <w:pPr>
        <w:snapToGrid w:val="0"/>
        <w:spacing w:line="360" w:lineRule="auto"/>
        <w:ind w:firstLine="480" w:firstLineChars="200"/>
        <w:rPr>
          <w:rFonts w:hint="default" w:ascii="Times New Roman" w:hAnsi="Times New Roman" w:cs="Times New Roman"/>
          <w:sz w:val="24"/>
          <w:szCs w:val="24"/>
        </w:rPr>
      </w:pPr>
    </w:p>
    <w:p>
      <w:pPr>
        <w:snapToGrid w:val="0"/>
        <w:spacing w:line="360" w:lineRule="auto"/>
        <w:ind w:firstLine="482" w:firstLineChars="200"/>
        <w:jc w:val="right"/>
        <w:rPr>
          <w:rFonts w:hint="default" w:ascii="Times New Roman" w:hAnsi="Times New Roman" w:cs="Times New Roman"/>
          <w:b/>
          <w:sz w:val="24"/>
          <w:szCs w:val="24"/>
        </w:rPr>
      </w:pPr>
      <w:r>
        <w:rPr>
          <w:rFonts w:hint="default" w:ascii="Times New Roman" w:hAnsi="Times New Roman" w:cs="Times New Roman"/>
          <w:b/>
          <w:sz w:val="24"/>
          <w:szCs w:val="24"/>
        </w:rPr>
        <w:t>中广核核技术发展股份有限公司</w:t>
      </w:r>
    </w:p>
    <w:p>
      <w:pPr>
        <w:snapToGrid w:val="0"/>
        <w:spacing w:line="360" w:lineRule="auto"/>
        <w:ind w:firstLine="482" w:firstLineChars="200"/>
        <w:jc w:val="right"/>
        <w:rPr>
          <w:rFonts w:hint="default" w:ascii="Times New Roman" w:hAnsi="Times New Roman" w:cs="Times New Roman"/>
          <w:b/>
          <w:sz w:val="24"/>
          <w:szCs w:val="24"/>
        </w:rPr>
      </w:pPr>
      <w:r>
        <w:rPr>
          <w:rFonts w:hint="default" w:ascii="Times New Roman" w:hAnsi="Times New Roman" w:cs="Times New Roman"/>
          <w:b/>
          <w:sz w:val="24"/>
          <w:szCs w:val="24"/>
        </w:rPr>
        <w:t>董事会</w:t>
      </w:r>
    </w:p>
    <w:p>
      <w:pPr>
        <w:snapToGrid w:val="0"/>
        <w:spacing w:line="360" w:lineRule="auto"/>
        <w:ind w:firstLine="482" w:firstLineChars="200"/>
        <w:jc w:val="right"/>
        <w:rPr>
          <w:rFonts w:hint="default" w:ascii="Times New Roman" w:hAnsi="Times New Roman" w:cs="Times New Roman"/>
          <w:sz w:val="24"/>
          <w:szCs w:val="24"/>
        </w:rPr>
      </w:pPr>
      <w:r>
        <w:rPr>
          <w:rFonts w:hint="default" w:ascii="Times New Roman" w:hAnsi="Times New Roman" w:cs="Times New Roman"/>
          <w:b/>
          <w:sz w:val="24"/>
          <w:szCs w:val="24"/>
        </w:rPr>
        <w:t>202</w:t>
      </w:r>
      <w:r>
        <w:rPr>
          <w:rFonts w:hint="eastAsia" w:ascii="Times New Roman" w:hAnsi="Times New Roman" w:cs="Times New Roman"/>
          <w:b/>
          <w:sz w:val="24"/>
          <w:szCs w:val="24"/>
          <w:lang w:val="en-US" w:eastAsia="zh-CN"/>
        </w:rPr>
        <w:t>4</w:t>
      </w:r>
      <w:r>
        <w:rPr>
          <w:rFonts w:hint="default" w:ascii="Times New Roman" w:hAnsi="Times New Roman" w:cs="Times New Roman"/>
          <w:b/>
          <w:sz w:val="24"/>
          <w:szCs w:val="24"/>
        </w:rPr>
        <w:t>年</w:t>
      </w:r>
      <w:r>
        <w:rPr>
          <w:rFonts w:hint="eastAsia" w:ascii="Times New Roman" w:hAnsi="Times New Roman" w:cs="Times New Roman"/>
          <w:b/>
          <w:sz w:val="24"/>
          <w:szCs w:val="24"/>
          <w:lang w:val="en-US" w:eastAsia="zh-CN"/>
        </w:rPr>
        <w:t>4</w:t>
      </w:r>
      <w:r>
        <w:rPr>
          <w:rFonts w:hint="default" w:ascii="Times New Roman" w:hAnsi="Times New Roman" w:cs="Times New Roman"/>
          <w:b/>
          <w:sz w:val="24"/>
          <w:szCs w:val="24"/>
        </w:rPr>
        <w:t>月</w:t>
      </w:r>
      <w:r>
        <w:rPr>
          <w:rFonts w:hint="eastAsia" w:ascii="Times New Roman" w:hAnsi="Times New Roman" w:cs="Times New Roman"/>
          <w:b/>
          <w:sz w:val="24"/>
          <w:szCs w:val="24"/>
          <w:lang w:val="en-US" w:eastAsia="zh-CN"/>
        </w:rPr>
        <w:t>2</w:t>
      </w:r>
      <w:r>
        <w:rPr>
          <w:rFonts w:hint="eastAsia" w:ascii="Times New Roman" w:hAnsi="Times New Roman" w:cs="Times New Roman"/>
          <w:b/>
          <w:sz w:val="24"/>
          <w:szCs w:val="24"/>
          <w:lang w:val="en-US" w:eastAsia="zh-CN"/>
        </w:rPr>
        <w:t>7</w:t>
      </w:r>
      <w:r>
        <w:rPr>
          <w:rFonts w:hint="default" w:ascii="Times New Roman" w:hAnsi="Times New Roman" w:cs="Times New Roman"/>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KaiTi_GB2312">
    <w:altName w:val="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4"/>
      <w:lvlText w:val="%1、"/>
      <w:legacy w:legacy="1" w:legacySpace="0" w:legacyIndent="465"/>
      <w:lvlJc w:val="left"/>
      <w:pPr>
        <w:ind w:left="1035" w:hanging="465"/>
      </w:pPr>
      <w:rPr>
        <w:rFonts w:hint="eastAsia" w:ascii="KaiTi_GB2312" w:eastAsia="KaiTi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2426"/>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3A2911"/>
    <w:rsid w:val="018D2CDE"/>
    <w:rsid w:val="02237153"/>
    <w:rsid w:val="02435EE5"/>
    <w:rsid w:val="028D37FB"/>
    <w:rsid w:val="02904283"/>
    <w:rsid w:val="02C3653C"/>
    <w:rsid w:val="02DD2615"/>
    <w:rsid w:val="03005F32"/>
    <w:rsid w:val="030D40D0"/>
    <w:rsid w:val="031E7295"/>
    <w:rsid w:val="03343341"/>
    <w:rsid w:val="03914799"/>
    <w:rsid w:val="03AD4A6D"/>
    <w:rsid w:val="04220EB1"/>
    <w:rsid w:val="04226A84"/>
    <w:rsid w:val="04371027"/>
    <w:rsid w:val="04A3318B"/>
    <w:rsid w:val="04C64E02"/>
    <w:rsid w:val="0503641B"/>
    <w:rsid w:val="05C2125A"/>
    <w:rsid w:val="05E67615"/>
    <w:rsid w:val="05FA5D1E"/>
    <w:rsid w:val="0605178D"/>
    <w:rsid w:val="06236F09"/>
    <w:rsid w:val="064D0C7B"/>
    <w:rsid w:val="066F4A33"/>
    <w:rsid w:val="06EA2838"/>
    <w:rsid w:val="072E4129"/>
    <w:rsid w:val="075925E6"/>
    <w:rsid w:val="07992F5A"/>
    <w:rsid w:val="07BB7068"/>
    <w:rsid w:val="080A3FCD"/>
    <w:rsid w:val="0827239F"/>
    <w:rsid w:val="083D5237"/>
    <w:rsid w:val="084142D3"/>
    <w:rsid w:val="08537854"/>
    <w:rsid w:val="08675B42"/>
    <w:rsid w:val="09680BBB"/>
    <w:rsid w:val="0A132998"/>
    <w:rsid w:val="0AD3407A"/>
    <w:rsid w:val="0AE07D73"/>
    <w:rsid w:val="0B0F058C"/>
    <w:rsid w:val="0B1D4B9F"/>
    <w:rsid w:val="0BBC2399"/>
    <w:rsid w:val="0BCF27F9"/>
    <w:rsid w:val="0C81081E"/>
    <w:rsid w:val="0C8D26EF"/>
    <w:rsid w:val="0CBB0DCD"/>
    <w:rsid w:val="0CC61161"/>
    <w:rsid w:val="0D936180"/>
    <w:rsid w:val="0D97210F"/>
    <w:rsid w:val="0E2F2616"/>
    <w:rsid w:val="0E920773"/>
    <w:rsid w:val="0E9E7E62"/>
    <w:rsid w:val="0F075B3D"/>
    <w:rsid w:val="0FEE7B63"/>
    <w:rsid w:val="0FF90584"/>
    <w:rsid w:val="10C860A5"/>
    <w:rsid w:val="10DA54EB"/>
    <w:rsid w:val="11105BCB"/>
    <w:rsid w:val="11D27DC5"/>
    <w:rsid w:val="11D6694D"/>
    <w:rsid w:val="11D72E84"/>
    <w:rsid w:val="11FF3BA3"/>
    <w:rsid w:val="12097EEB"/>
    <w:rsid w:val="12F521C1"/>
    <w:rsid w:val="13062350"/>
    <w:rsid w:val="137551BA"/>
    <w:rsid w:val="138253F3"/>
    <w:rsid w:val="13E90E7D"/>
    <w:rsid w:val="13F803B8"/>
    <w:rsid w:val="14004250"/>
    <w:rsid w:val="149B346D"/>
    <w:rsid w:val="149D2C0B"/>
    <w:rsid w:val="14FF3D3A"/>
    <w:rsid w:val="15B21392"/>
    <w:rsid w:val="16251A7B"/>
    <w:rsid w:val="16DB572C"/>
    <w:rsid w:val="16FE1415"/>
    <w:rsid w:val="172C29D4"/>
    <w:rsid w:val="17564E9E"/>
    <w:rsid w:val="178E3F62"/>
    <w:rsid w:val="179A11D6"/>
    <w:rsid w:val="17C22491"/>
    <w:rsid w:val="187278CB"/>
    <w:rsid w:val="19154E02"/>
    <w:rsid w:val="194075FE"/>
    <w:rsid w:val="19951B5B"/>
    <w:rsid w:val="19F84C38"/>
    <w:rsid w:val="1A202DC3"/>
    <w:rsid w:val="1A595C8F"/>
    <w:rsid w:val="1A5D6431"/>
    <w:rsid w:val="1AAD1ACB"/>
    <w:rsid w:val="1B0C1623"/>
    <w:rsid w:val="1B326183"/>
    <w:rsid w:val="1B3D734C"/>
    <w:rsid w:val="1B447FB2"/>
    <w:rsid w:val="1B85705F"/>
    <w:rsid w:val="1BC00537"/>
    <w:rsid w:val="1BD838BE"/>
    <w:rsid w:val="1C433887"/>
    <w:rsid w:val="1C63352B"/>
    <w:rsid w:val="1CAC66F9"/>
    <w:rsid w:val="1CC31220"/>
    <w:rsid w:val="1CD1668F"/>
    <w:rsid w:val="1CD24564"/>
    <w:rsid w:val="1CDF509E"/>
    <w:rsid w:val="1D37508A"/>
    <w:rsid w:val="1D833AD0"/>
    <w:rsid w:val="1DA7769E"/>
    <w:rsid w:val="1DB54E36"/>
    <w:rsid w:val="1E26544F"/>
    <w:rsid w:val="1EDF0E4F"/>
    <w:rsid w:val="1EF20C24"/>
    <w:rsid w:val="1EFA27BD"/>
    <w:rsid w:val="1F7A021E"/>
    <w:rsid w:val="1FAB1086"/>
    <w:rsid w:val="1FF36C63"/>
    <w:rsid w:val="20794362"/>
    <w:rsid w:val="20A94838"/>
    <w:rsid w:val="20C95856"/>
    <w:rsid w:val="21A878A2"/>
    <w:rsid w:val="21B80284"/>
    <w:rsid w:val="21C60C94"/>
    <w:rsid w:val="22083A05"/>
    <w:rsid w:val="22096CA7"/>
    <w:rsid w:val="23350755"/>
    <w:rsid w:val="23414E98"/>
    <w:rsid w:val="234D01CE"/>
    <w:rsid w:val="23557D99"/>
    <w:rsid w:val="237B467C"/>
    <w:rsid w:val="23B61459"/>
    <w:rsid w:val="24844D27"/>
    <w:rsid w:val="24C1538F"/>
    <w:rsid w:val="24E446E9"/>
    <w:rsid w:val="24FF4E38"/>
    <w:rsid w:val="25450769"/>
    <w:rsid w:val="257B287A"/>
    <w:rsid w:val="2588173A"/>
    <w:rsid w:val="25C73B3B"/>
    <w:rsid w:val="25D9362D"/>
    <w:rsid w:val="25EA26C1"/>
    <w:rsid w:val="26005B04"/>
    <w:rsid w:val="27337794"/>
    <w:rsid w:val="27EE1B5B"/>
    <w:rsid w:val="282E5EC3"/>
    <w:rsid w:val="28525986"/>
    <w:rsid w:val="285B60A9"/>
    <w:rsid w:val="28652863"/>
    <w:rsid w:val="288A5D4C"/>
    <w:rsid w:val="28DD25E0"/>
    <w:rsid w:val="28FF1F96"/>
    <w:rsid w:val="29973DBD"/>
    <w:rsid w:val="29DC5247"/>
    <w:rsid w:val="2B6644AD"/>
    <w:rsid w:val="2BB22A8A"/>
    <w:rsid w:val="2BEC617B"/>
    <w:rsid w:val="2C837CC5"/>
    <w:rsid w:val="2D0E6475"/>
    <w:rsid w:val="2DB24AA4"/>
    <w:rsid w:val="2E4F5666"/>
    <w:rsid w:val="2EE64F31"/>
    <w:rsid w:val="2F421151"/>
    <w:rsid w:val="2F747280"/>
    <w:rsid w:val="30561973"/>
    <w:rsid w:val="308D49A4"/>
    <w:rsid w:val="30917E27"/>
    <w:rsid w:val="30F636CE"/>
    <w:rsid w:val="31171833"/>
    <w:rsid w:val="31276540"/>
    <w:rsid w:val="31696698"/>
    <w:rsid w:val="3176218B"/>
    <w:rsid w:val="31A352EC"/>
    <w:rsid w:val="32AD43B0"/>
    <w:rsid w:val="33000A2E"/>
    <w:rsid w:val="331D4D45"/>
    <w:rsid w:val="338B10AE"/>
    <w:rsid w:val="34626DAE"/>
    <w:rsid w:val="34AF42A0"/>
    <w:rsid w:val="34F21765"/>
    <w:rsid w:val="34FC005B"/>
    <w:rsid w:val="350B05E4"/>
    <w:rsid w:val="359B5634"/>
    <w:rsid w:val="35DA7390"/>
    <w:rsid w:val="35DD5BE8"/>
    <w:rsid w:val="3681148B"/>
    <w:rsid w:val="36A646A7"/>
    <w:rsid w:val="37736B91"/>
    <w:rsid w:val="378A2713"/>
    <w:rsid w:val="37D24CA4"/>
    <w:rsid w:val="38A05148"/>
    <w:rsid w:val="38CC4424"/>
    <w:rsid w:val="38F77026"/>
    <w:rsid w:val="390B3BAD"/>
    <w:rsid w:val="39353570"/>
    <w:rsid w:val="399E74AF"/>
    <w:rsid w:val="3AB62979"/>
    <w:rsid w:val="3ACF2DFF"/>
    <w:rsid w:val="3B1E2C92"/>
    <w:rsid w:val="3BB4504B"/>
    <w:rsid w:val="3C0B4EF4"/>
    <w:rsid w:val="3C156AA2"/>
    <w:rsid w:val="3CB46C36"/>
    <w:rsid w:val="3D680DBB"/>
    <w:rsid w:val="3E8E06D6"/>
    <w:rsid w:val="3EC576AD"/>
    <w:rsid w:val="3ED50494"/>
    <w:rsid w:val="3FAC2834"/>
    <w:rsid w:val="40A94D33"/>
    <w:rsid w:val="40B01A65"/>
    <w:rsid w:val="40BA7418"/>
    <w:rsid w:val="40C1059D"/>
    <w:rsid w:val="410D3985"/>
    <w:rsid w:val="411C2F72"/>
    <w:rsid w:val="41870684"/>
    <w:rsid w:val="4196177A"/>
    <w:rsid w:val="429B3FB2"/>
    <w:rsid w:val="430F7D93"/>
    <w:rsid w:val="43265537"/>
    <w:rsid w:val="433656A7"/>
    <w:rsid w:val="4364761E"/>
    <w:rsid w:val="4378508A"/>
    <w:rsid w:val="43BA1751"/>
    <w:rsid w:val="43BF4487"/>
    <w:rsid w:val="44604933"/>
    <w:rsid w:val="44714AFB"/>
    <w:rsid w:val="44796AC2"/>
    <w:rsid w:val="44FD15D2"/>
    <w:rsid w:val="453B32A8"/>
    <w:rsid w:val="454E77EE"/>
    <w:rsid w:val="461F3EBE"/>
    <w:rsid w:val="464E73A4"/>
    <w:rsid w:val="4684492B"/>
    <w:rsid w:val="46885010"/>
    <w:rsid w:val="469E548C"/>
    <w:rsid w:val="46AD6854"/>
    <w:rsid w:val="47CB3E36"/>
    <w:rsid w:val="47F61B67"/>
    <w:rsid w:val="488A744B"/>
    <w:rsid w:val="49BF4571"/>
    <w:rsid w:val="4A365D92"/>
    <w:rsid w:val="4A515382"/>
    <w:rsid w:val="4A8B7951"/>
    <w:rsid w:val="4AEF427C"/>
    <w:rsid w:val="4BB23BBB"/>
    <w:rsid w:val="4BB42B60"/>
    <w:rsid w:val="4C4614BD"/>
    <w:rsid w:val="4CEF26B4"/>
    <w:rsid w:val="4D1B4648"/>
    <w:rsid w:val="4D6F59A6"/>
    <w:rsid w:val="4DCA5C65"/>
    <w:rsid w:val="4E231736"/>
    <w:rsid w:val="4E27013D"/>
    <w:rsid w:val="4E9354A6"/>
    <w:rsid w:val="4F0F2447"/>
    <w:rsid w:val="4F217F9B"/>
    <w:rsid w:val="4F505B88"/>
    <w:rsid w:val="4F604D34"/>
    <w:rsid w:val="50443630"/>
    <w:rsid w:val="504C3368"/>
    <w:rsid w:val="5126460E"/>
    <w:rsid w:val="51936115"/>
    <w:rsid w:val="51D6626D"/>
    <w:rsid w:val="521E7F95"/>
    <w:rsid w:val="523E4376"/>
    <w:rsid w:val="52400863"/>
    <w:rsid w:val="525853E7"/>
    <w:rsid w:val="52B20682"/>
    <w:rsid w:val="532606DF"/>
    <w:rsid w:val="53C564F0"/>
    <w:rsid w:val="53D123DC"/>
    <w:rsid w:val="540D40C4"/>
    <w:rsid w:val="545C5D5F"/>
    <w:rsid w:val="54793793"/>
    <w:rsid w:val="54B57CF7"/>
    <w:rsid w:val="54B946F7"/>
    <w:rsid w:val="54EB63CD"/>
    <w:rsid w:val="55384DC6"/>
    <w:rsid w:val="557E11BB"/>
    <w:rsid w:val="56C647B3"/>
    <w:rsid w:val="56EF5D14"/>
    <w:rsid w:val="572B04AD"/>
    <w:rsid w:val="573B36AB"/>
    <w:rsid w:val="57DF501C"/>
    <w:rsid w:val="58096E6F"/>
    <w:rsid w:val="588E67BC"/>
    <w:rsid w:val="593F11BA"/>
    <w:rsid w:val="59B72D27"/>
    <w:rsid w:val="59C04459"/>
    <w:rsid w:val="59F11840"/>
    <w:rsid w:val="5A112723"/>
    <w:rsid w:val="5A246D39"/>
    <w:rsid w:val="5A2D6255"/>
    <w:rsid w:val="5A344C5B"/>
    <w:rsid w:val="5A404F42"/>
    <w:rsid w:val="5A4910FB"/>
    <w:rsid w:val="5A586E6E"/>
    <w:rsid w:val="5A751744"/>
    <w:rsid w:val="5AC2653B"/>
    <w:rsid w:val="5AE747C3"/>
    <w:rsid w:val="5B0F786F"/>
    <w:rsid w:val="5B3E0ACF"/>
    <w:rsid w:val="5B774E71"/>
    <w:rsid w:val="5B86479E"/>
    <w:rsid w:val="5B9E6027"/>
    <w:rsid w:val="5BA23B0C"/>
    <w:rsid w:val="5C0B3189"/>
    <w:rsid w:val="5C0E651B"/>
    <w:rsid w:val="5CEE166A"/>
    <w:rsid w:val="5CF852ED"/>
    <w:rsid w:val="5CFF5879"/>
    <w:rsid w:val="5D2B4BB7"/>
    <w:rsid w:val="5D4930BF"/>
    <w:rsid w:val="5D8A4F8E"/>
    <w:rsid w:val="5E1D09B1"/>
    <w:rsid w:val="5E42737D"/>
    <w:rsid w:val="5E43257A"/>
    <w:rsid w:val="5E6C2D25"/>
    <w:rsid w:val="5E984F4E"/>
    <w:rsid w:val="5EE0506F"/>
    <w:rsid w:val="5F0425D8"/>
    <w:rsid w:val="5F63338A"/>
    <w:rsid w:val="5F6A70D2"/>
    <w:rsid w:val="5F9472E7"/>
    <w:rsid w:val="5F9E5A83"/>
    <w:rsid w:val="600A602E"/>
    <w:rsid w:val="603F2C9B"/>
    <w:rsid w:val="60527107"/>
    <w:rsid w:val="60B55130"/>
    <w:rsid w:val="61171764"/>
    <w:rsid w:val="611C403B"/>
    <w:rsid w:val="612F7E3B"/>
    <w:rsid w:val="61AA735E"/>
    <w:rsid w:val="621A3574"/>
    <w:rsid w:val="62B97337"/>
    <w:rsid w:val="62E01977"/>
    <w:rsid w:val="62E95975"/>
    <w:rsid w:val="62F507BA"/>
    <w:rsid w:val="63D262A7"/>
    <w:rsid w:val="64643702"/>
    <w:rsid w:val="64B03B59"/>
    <w:rsid w:val="64E06A1A"/>
    <w:rsid w:val="64E351D7"/>
    <w:rsid w:val="6537655B"/>
    <w:rsid w:val="654A1320"/>
    <w:rsid w:val="65681D1D"/>
    <w:rsid w:val="65D331FF"/>
    <w:rsid w:val="668C02C9"/>
    <w:rsid w:val="66A8173D"/>
    <w:rsid w:val="66CF4A15"/>
    <w:rsid w:val="66F50CAA"/>
    <w:rsid w:val="67194E2F"/>
    <w:rsid w:val="676A6A91"/>
    <w:rsid w:val="67784575"/>
    <w:rsid w:val="67E8480C"/>
    <w:rsid w:val="68171E00"/>
    <w:rsid w:val="68910E56"/>
    <w:rsid w:val="68AB1D64"/>
    <w:rsid w:val="69C223F9"/>
    <w:rsid w:val="69DD1477"/>
    <w:rsid w:val="6A3833A6"/>
    <w:rsid w:val="6A6F5EEB"/>
    <w:rsid w:val="6AE00BC1"/>
    <w:rsid w:val="6B23238E"/>
    <w:rsid w:val="6B38463A"/>
    <w:rsid w:val="6B8148DE"/>
    <w:rsid w:val="6C461D15"/>
    <w:rsid w:val="6C7B529C"/>
    <w:rsid w:val="6C991530"/>
    <w:rsid w:val="6CA84F28"/>
    <w:rsid w:val="6CAC6D99"/>
    <w:rsid w:val="6CC3543E"/>
    <w:rsid w:val="6CDC3B2B"/>
    <w:rsid w:val="6D2F3BBD"/>
    <w:rsid w:val="6D7B7A66"/>
    <w:rsid w:val="6D905698"/>
    <w:rsid w:val="6DA61A64"/>
    <w:rsid w:val="6DBD0949"/>
    <w:rsid w:val="6E1603CB"/>
    <w:rsid w:val="6E84034D"/>
    <w:rsid w:val="6E950432"/>
    <w:rsid w:val="6EFF062B"/>
    <w:rsid w:val="6F1E0D5A"/>
    <w:rsid w:val="6F2E04E4"/>
    <w:rsid w:val="6FA12229"/>
    <w:rsid w:val="6FC22B46"/>
    <w:rsid w:val="6FDC7143"/>
    <w:rsid w:val="6FE45653"/>
    <w:rsid w:val="70554341"/>
    <w:rsid w:val="7089404F"/>
    <w:rsid w:val="719D793C"/>
    <w:rsid w:val="71BC5F4C"/>
    <w:rsid w:val="71D42690"/>
    <w:rsid w:val="71FE35D0"/>
    <w:rsid w:val="72A14E33"/>
    <w:rsid w:val="73710DE8"/>
    <w:rsid w:val="738B6ECD"/>
    <w:rsid w:val="740D39D4"/>
    <w:rsid w:val="74183D26"/>
    <w:rsid w:val="742A1457"/>
    <w:rsid w:val="743069D9"/>
    <w:rsid w:val="748023E1"/>
    <w:rsid w:val="749D7B69"/>
    <w:rsid w:val="75652953"/>
    <w:rsid w:val="75934016"/>
    <w:rsid w:val="759A3D4C"/>
    <w:rsid w:val="75CB0ECB"/>
    <w:rsid w:val="75E7418D"/>
    <w:rsid w:val="76071FAE"/>
    <w:rsid w:val="76131444"/>
    <w:rsid w:val="762A7C7A"/>
    <w:rsid w:val="76645525"/>
    <w:rsid w:val="773B151D"/>
    <w:rsid w:val="780A14FB"/>
    <w:rsid w:val="78413F3B"/>
    <w:rsid w:val="7875223D"/>
    <w:rsid w:val="793A7663"/>
    <w:rsid w:val="799F2BDF"/>
    <w:rsid w:val="79B07D84"/>
    <w:rsid w:val="79C54F96"/>
    <w:rsid w:val="7A1816D7"/>
    <w:rsid w:val="7A7F1552"/>
    <w:rsid w:val="7A8F2184"/>
    <w:rsid w:val="7AB279F2"/>
    <w:rsid w:val="7B3159C3"/>
    <w:rsid w:val="7B7873A1"/>
    <w:rsid w:val="7C403B9E"/>
    <w:rsid w:val="7C5D3006"/>
    <w:rsid w:val="7C993F7F"/>
    <w:rsid w:val="7CBE27BE"/>
    <w:rsid w:val="7CC5604D"/>
    <w:rsid w:val="7CD3558A"/>
    <w:rsid w:val="7CE27CFF"/>
    <w:rsid w:val="7D9F149E"/>
    <w:rsid w:val="7DD34743"/>
    <w:rsid w:val="7DE96801"/>
    <w:rsid w:val="7DF12D8F"/>
    <w:rsid w:val="7E14633A"/>
    <w:rsid w:val="7E8F6CAE"/>
    <w:rsid w:val="7F0167D8"/>
    <w:rsid w:val="7F857CDD"/>
    <w:rsid w:val="7F8F3199"/>
    <w:rsid w:val="7FD465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5">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Body Text"/>
    <w:basedOn w:val="1"/>
    <w:qFormat/>
    <w:uiPriority w:val="99"/>
    <w:pPr>
      <w:spacing w:after="120"/>
    </w:pPr>
  </w:style>
  <w:style w:type="paragraph" w:styleId="4">
    <w:name w:val="Body Text Indent"/>
    <w:basedOn w:val="1"/>
    <w:uiPriority w:val="0"/>
    <w:pPr>
      <w:ind w:firstLine="576"/>
    </w:pPr>
    <w:rPr>
      <w:rFonts w:ascii="仿宋_GB2312" w:eastAsia="仿宋_GB2312"/>
      <w:sz w:val="28"/>
      <w:szCs w:val="24"/>
    </w:rPr>
  </w:style>
  <w:style w:type="paragraph" w:styleId="5">
    <w:name w:val="Plain Text"/>
    <w:basedOn w:val="1"/>
    <w:link w:val="19"/>
    <w:uiPriority w:val="99"/>
    <w:rPr>
      <w:rFonts w:ascii="宋体" w:hAnsi="Courier New"/>
    </w:rPr>
  </w:style>
  <w:style w:type="paragraph" w:styleId="6">
    <w:name w:val="Date"/>
    <w:basedOn w:val="1"/>
    <w:next w:val="1"/>
    <w:uiPriority w:val="0"/>
    <w:pPr>
      <w:adjustRightInd w:val="0"/>
      <w:spacing w:line="312" w:lineRule="atLeast"/>
      <w:jc w:val="right"/>
      <w:textAlignment w:val="baseline"/>
    </w:pPr>
    <w:rPr>
      <w:kern w:val="0"/>
    </w:rPr>
  </w:style>
  <w:style w:type="paragraph" w:styleId="7">
    <w:name w:val="Balloon Text"/>
    <w:basedOn w:val="1"/>
    <w:semiHidden/>
    <w:uiPriority w:val="0"/>
    <w:rPr>
      <w:sz w:val="18"/>
      <w:szCs w:val="18"/>
    </w:rPr>
  </w:style>
  <w:style w:type="paragraph" w:styleId="8">
    <w:name w:val="footer"/>
    <w:basedOn w:val="1"/>
    <w:link w:val="20"/>
    <w:uiPriority w:val="0"/>
    <w:pPr>
      <w:tabs>
        <w:tab w:val="center" w:pos="4153"/>
        <w:tab w:val="right" w:pos="8306"/>
      </w:tabs>
      <w:snapToGrid w:val="0"/>
      <w:jc w:val="left"/>
    </w:pPr>
    <w:rPr>
      <w:sz w:val="18"/>
      <w:szCs w:val="18"/>
    </w:rPr>
  </w:style>
  <w:style w:type="paragraph" w:styleId="9">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2"/>
    <w:next w:val="2"/>
    <w:link w:val="22"/>
    <w:uiPriority w:val="0"/>
    <w:rPr>
      <w:b/>
      <w:bCs/>
    </w:rPr>
  </w:style>
  <w:style w:type="table" w:styleId="13">
    <w:name w:val="Table Grid"/>
    <w:basedOn w:val="12"/>
    <w:uiPriority w:val="0"/>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Classic 1"/>
    <w:basedOn w:val="12"/>
    <w:uiPriority w:val="0"/>
    <w:pPr>
      <w:widowControl w:val="0"/>
      <w:jc w:val="both"/>
    </w:pPr>
    <w:tblPr>
      <w:tblStyle w:val="12"/>
      <w:tblBorders>
        <w:top w:val="single" w:color="000000" w:sz="12" w:space="0"/>
        <w:bottom w:val="single" w:color="000000" w:sz="12" w:space="0"/>
      </w:tblBorders>
    </w:tblPr>
    <w:tcPr>
      <w:shd w:val="clear" w:color="auto" w:fill="auto"/>
    </w:tcPr>
    <w:tblStylePr w:type="firstRow">
      <w:rPr>
        <w:i/>
        <w:iCs/>
      </w:rPr>
      <w:tblPr>
        <w:tblStyle w:val="12"/>
      </w:tblPr>
      <w:tcPr>
        <w:tcBorders>
          <w:top w:val="nil"/>
          <w:left w:val="single" w:color="000000" w:sz="6" w:space="0"/>
          <w:bottom w:val="nil"/>
          <w:right w:val="nil"/>
          <w:insideH w:val="nil"/>
          <w:insideV w:val="nil"/>
          <w:tl2br w:val="nil"/>
          <w:tr2bl w:val="nil"/>
        </w:tcBorders>
      </w:tcPr>
    </w:tblStylePr>
    <w:tblStylePr w:type="lastRow">
      <w:rPr>
        <w:color w:val="auto"/>
      </w:rPr>
      <w:tblPr>
        <w:tblStyle w:val="12"/>
      </w:tblPr>
      <w:tcPr>
        <w:tcBorders>
          <w:top w:val="single" w:color="000000" w:sz="6" w:space="0"/>
          <w:left w:val="nil"/>
          <w:bottom w:val="nil"/>
          <w:right w:val="nil"/>
          <w:insideH w:val="nil"/>
          <w:insideV w:val="nil"/>
          <w:tl2br w:val="nil"/>
          <w:tr2bl w:val="nil"/>
        </w:tcBorders>
      </w:tcPr>
    </w:tblStylePr>
    <w:tblStylePr w:type="firstCol">
      <w:tblPr>
        <w:tblStyle w:val="12"/>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12"/>
      </w:tblPr>
      <w:tcPr>
        <w:tcBorders>
          <w:top w:val="nil"/>
          <w:left w:val="nil"/>
          <w:bottom w:val="nil"/>
          <w:right w:val="nil"/>
          <w:insideH w:val="nil"/>
          <w:insideV w:val="nil"/>
          <w:tl2br w:val="nil"/>
          <w:tr2bl w:val="nil"/>
        </w:tcBorders>
      </w:tcPr>
    </w:tblStylePr>
    <w:tblStylePr w:type="swCell">
      <w:rPr>
        <w:b/>
        <w:bCs/>
      </w:rPr>
      <w:tblPr>
        <w:tblStyle w:val="12"/>
      </w:tblPr>
      <w:tcPr>
        <w:tcBorders>
          <w:top w:val="nil"/>
          <w:left w:val="nil"/>
          <w:bottom w:val="nil"/>
          <w:right w:val="nil"/>
          <w:insideH w:val="nil"/>
          <w:insideV w:val="nil"/>
          <w:tl2br w:val="nil"/>
          <w:tr2bl w:val="nil"/>
        </w:tcBorders>
      </w:tcPr>
    </w:tblStylePr>
  </w:style>
  <w:style w:type="character" w:styleId="16">
    <w:name w:val="Hyperlink"/>
    <w:uiPriority w:val="0"/>
    <w:rPr>
      <w:color w:val="0000FF"/>
      <w:u w:val="single"/>
    </w:rPr>
  </w:style>
  <w:style w:type="character" w:styleId="17">
    <w:name w:val="annotation reference"/>
    <w:uiPriority w:val="0"/>
    <w:rPr>
      <w:sz w:val="21"/>
      <w:szCs w:val="21"/>
    </w:rPr>
  </w:style>
  <w:style w:type="character" w:customStyle="1" w:styleId="18">
    <w:name w:val="批注文字 Char"/>
    <w:link w:val="2"/>
    <w:uiPriority w:val="0"/>
    <w:rPr>
      <w:kern w:val="2"/>
      <w:sz w:val="21"/>
    </w:rPr>
  </w:style>
  <w:style w:type="character" w:customStyle="1" w:styleId="19">
    <w:name w:val="纯文本 Char"/>
    <w:link w:val="5"/>
    <w:uiPriority w:val="99"/>
    <w:rPr>
      <w:rFonts w:ascii="宋体" w:hAnsi="Courier New"/>
      <w:kern w:val="2"/>
      <w:sz w:val="21"/>
    </w:rPr>
  </w:style>
  <w:style w:type="character" w:customStyle="1" w:styleId="20">
    <w:name w:val="页脚 Char"/>
    <w:link w:val="8"/>
    <w:uiPriority w:val="0"/>
    <w:rPr>
      <w:kern w:val="2"/>
      <w:sz w:val="18"/>
      <w:szCs w:val="18"/>
    </w:rPr>
  </w:style>
  <w:style w:type="character" w:customStyle="1" w:styleId="21">
    <w:name w:val="页眉 Char"/>
    <w:link w:val="9"/>
    <w:uiPriority w:val="0"/>
    <w:rPr>
      <w:kern w:val="2"/>
      <w:sz w:val="18"/>
      <w:szCs w:val="18"/>
    </w:rPr>
  </w:style>
  <w:style w:type="character" w:customStyle="1" w:styleId="22">
    <w:name w:val="批注主题 Char"/>
    <w:link w:val="11"/>
    <w:uiPriority w:val="0"/>
    <w:rPr>
      <w:b/>
      <w:bCs/>
      <w:kern w:val="2"/>
      <w:sz w:val="21"/>
    </w:rPr>
  </w:style>
  <w:style w:type="paragraph" w:customStyle="1" w:styleId="23">
    <w:name w:val="CM3"/>
    <w:basedOn w:val="1"/>
    <w:next w:val="1"/>
    <w:uiPriority w:val="0"/>
    <w:pPr>
      <w:autoSpaceDE w:val="0"/>
      <w:autoSpaceDN w:val="0"/>
      <w:adjustRightInd w:val="0"/>
      <w:spacing w:after="468"/>
      <w:jc w:val="left"/>
    </w:pPr>
    <w:rPr>
      <w:rFonts w:ascii="宋体"/>
      <w:kern w:val="0"/>
      <w:sz w:val="24"/>
      <w:szCs w:val="24"/>
    </w:rPr>
  </w:style>
  <w:style w:type="paragraph" w:customStyle="1" w:styleId="24">
    <w:name w:val=" Char Char Char Char Char Char Char Char Char"/>
    <w:basedOn w:val="1"/>
    <w:uiPriority w:val="0"/>
    <w:pPr>
      <w:numPr>
        <w:ilvl w:val="0"/>
        <w:numId w:val="1"/>
      </w:numPr>
    </w:pPr>
    <w:rPr>
      <w:sz w:val="24"/>
      <w:szCs w:val="24"/>
    </w:rPr>
  </w:style>
  <w:style w:type="paragraph" w:customStyle="1" w:styleId="25">
    <w:name w:val="CM2"/>
    <w:basedOn w:val="1"/>
    <w:next w:val="1"/>
    <w:uiPriority w:val="0"/>
    <w:pPr>
      <w:autoSpaceDE w:val="0"/>
      <w:autoSpaceDN w:val="0"/>
      <w:adjustRightInd w:val="0"/>
      <w:spacing w:line="511" w:lineRule="atLeast"/>
      <w:jc w:val="left"/>
    </w:pPr>
    <w:rPr>
      <w:rFonts w:ascii="宋体"/>
      <w:kern w:val="0"/>
      <w:sz w:val="24"/>
      <w:szCs w:val="24"/>
    </w:rPr>
  </w:style>
  <w:style w:type="paragraph" w:customStyle="1" w:styleId="26">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character" w:customStyle="1" w:styleId="27">
    <w:name w:val="fontstyle01"/>
    <w:uiPriority w:val="0"/>
    <w:rPr>
      <w:rFonts w:hint="eastAsia" w:ascii="宋体" w:hAnsi="宋体" w:eastAsia="宋体"/>
      <w:color w:val="000000"/>
      <w:sz w:val="24"/>
      <w:szCs w:val="24"/>
    </w:rPr>
  </w:style>
  <w:style w:type="paragraph" w:customStyle="1" w:styleId="28">
    <w:name w:val="CM11"/>
    <w:basedOn w:val="1"/>
    <w:next w:val="1"/>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9">
    <w:name w:val="CM10"/>
    <w:basedOn w:val="26"/>
    <w:next w:val="26"/>
    <w:uiPriority w:val="0"/>
    <w:pPr>
      <w:spacing w:after="723"/>
    </w:pPr>
    <w:rPr>
      <w:rFonts w:ascii="黑体" w:hAnsi="Times New Roman" w:eastAsia="黑体" w:cs="Times New Roman"/>
      <w:color w:val="auto"/>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1177</Words>
  <Characters>6709</Characters>
  <Lines>55</Lines>
  <Paragraphs>15</Paragraphs>
  <TotalTime>0</TotalTime>
  <ScaleCrop>false</ScaleCrop>
  <LinksUpToDate>false</LinksUpToDate>
  <CharactersWithSpaces>7871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海涛</cp:lastModifiedBy>
  <cp:lastPrinted>2017-05-27T01:49:00Z</cp:lastPrinted>
  <dcterms:modified xsi:type="dcterms:W3CDTF">2024-04-26T07:09:57Z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807A6A146E814AFDA4C7B6767DAA54B1_13</vt:lpwstr>
  </property>
</Properties>
</file>